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6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"/>
        <w:gridCol w:w="109"/>
        <w:gridCol w:w="9691"/>
        <w:gridCol w:w="109"/>
      </w:tblGrid>
      <w:tr w:rsidR="001837BE" w:rsidRPr="001F67DF" w:rsidTr="004E7C0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b/>
              </w:rPr>
              <w:t>Актуально на 19.04.2024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Title"/>
        <w:jc w:val="center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ОСНОВНЫЕ ИЗМЕНЕНИЯ В ТРУДОВОМ ЗАКОНОДАТЕЛЬСТВЕ В 2024 ГОДУ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1 сентября 2024 года обновят положения о квотах для инвалидов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9DEF23" wp14:editId="1EEBD06F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</w:rPr>
              <w:t xml:space="preserve">Федеральный </w:t>
            </w:r>
            <w:hyperlink r:id="rId6">
              <w:r w:rsidRPr="001F67DF">
                <w:rPr>
                  <w:rFonts w:ascii="Times New Roman" w:hAnsi="Times New Roman" w:cs="Times New Roman"/>
                </w:rPr>
                <w:t>закон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от 12.12.2023 N 565-ФЗ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Регионы установят квоты для работодателей, у которых трудятся более 35 человек, - </w:t>
      </w:r>
      <w:hyperlink r:id="rId7">
        <w:r w:rsidRPr="001F67DF">
          <w:rPr>
            <w:rFonts w:ascii="Times New Roman" w:hAnsi="Times New Roman" w:cs="Times New Roman"/>
          </w:rPr>
          <w:t>от 2% до 4%</w:t>
        </w:r>
      </w:hyperlink>
      <w:r w:rsidRPr="001F67DF">
        <w:rPr>
          <w:rFonts w:ascii="Times New Roman" w:hAnsi="Times New Roman" w:cs="Times New Roman"/>
        </w:rPr>
        <w:t xml:space="preserve"> от среднесписочной численности персонала. Их </w:t>
      </w:r>
      <w:hyperlink r:id="rId8">
        <w:r w:rsidRPr="001F67DF">
          <w:rPr>
            <w:rFonts w:ascii="Times New Roman" w:hAnsi="Times New Roman" w:cs="Times New Roman"/>
          </w:rPr>
          <w:t>смогут дифференцировать</w:t>
        </w:r>
      </w:hyperlink>
      <w:r w:rsidRPr="001F67DF">
        <w:rPr>
          <w:rFonts w:ascii="Times New Roman" w:hAnsi="Times New Roman" w:cs="Times New Roman"/>
        </w:rPr>
        <w:t xml:space="preserve"> в зависимости от отрасли экономики, муниципального образования и др. При этом субъекты РФ должны будут учитывать рекомендации Минтруда.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1 сентября 2024 года смогут пройти повторное обязательное психиатрическое освидетельствование те, чье состояние улучшилось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A7E713" wp14:editId="5F5898F2">
                  <wp:extent cx="114300" cy="1428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</w:rPr>
              <w:t xml:space="preserve">Федеральный </w:t>
            </w:r>
            <w:hyperlink r:id="rId9">
              <w:r w:rsidRPr="001F67DF">
                <w:rPr>
                  <w:rFonts w:ascii="Times New Roman" w:hAnsi="Times New Roman" w:cs="Times New Roman"/>
                </w:rPr>
                <w:t>закон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от 04.08.2023 N 465-ФЗ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Гражданин, которого признали непригодным к выполнению отдельных видов деятельности, вправе пройти повторное обязательное психиатрическое освидетельствование, если по заключению психиатра его состояние улучшилось. </w:t>
      </w:r>
      <w:hyperlink r:id="rId10">
        <w:r w:rsidRPr="001F67DF">
          <w:rPr>
            <w:rFonts w:ascii="Times New Roman" w:hAnsi="Times New Roman" w:cs="Times New Roman"/>
          </w:rPr>
          <w:t>Сейчас</w:t>
        </w:r>
      </w:hyperlink>
      <w:r w:rsidRPr="001F67DF">
        <w:rPr>
          <w:rFonts w:ascii="Times New Roman" w:hAnsi="Times New Roman" w:cs="Times New Roman"/>
        </w:rPr>
        <w:t xml:space="preserve"> такой возможности нет.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1 сентября 2024 года нужно применять новую методику проведения СОУТ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F05BF8" wp14:editId="7405340C">
                  <wp:extent cx="114300" cy="14287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>
              <w:r w:rsidRPr="001F67DF">
                <w:rPr>
                  <w:rFonts w:ascii="Times New Roman" w:hAnsi="Times New Roman" w:cs="Times New Roman"/>
                </w:rPr>
                <w:t>Приказ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Минтруда России от 21.11.2023 N 817н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Вступят в силу </w:t>
      </w:r>
      <w:proofErr w:type="gramStart"/>
      <w:r w:rsidRPr="001F67DF">
        <w:rPr>
          <w:rFonts w:ascii="Times New Roman" w:hAnsi="Times New Roman" w:cs="Times New Roman"/>
        </w:rPr>
        <w:t>новые</w:t>
      </w:r>
      <w:proofErr w:type="gramEnd"/>
      <w:r w:rsidRPr="001F67DF">
        <w:rPr>
          <w:rFonts w:ascii="Times New Roman" w:hAnsi="Times New Roman" w:cs="Times New Roman"/>
        </w:rPr>
        <w:t xml:space="preserve"> методика </w:t>
      </w:r>
      <w:proofErr w:type="spellStart"/>
      <w:r w:rsidRPr="001F67DF">
        <w:rPr>
          <w:rFonts w:ascii="Times New Roman" w:hAnsi="Times New Roman" w:cs="Times New Roman"/>
        </w:rPr>
        <w:t>спецоценки</w:t>
      </w:r>
      <w:proofErr w:type="spellEnd"/>
      <w:r w:rsidRPr="001F67DF">
        <w:rPr>
          <w:rFonts w:ascii="Times New Roman" w:hAnsi="Times New Roman" w:cs="Times New Roman"/>
        </w:rPr>
        <w:t xml:space="preserve"> условий труда, классификатор вредных и опасных факторов, а также форма отчета СОУТ с инструкцией по ее заполнению. Приказ будет действовать до 1 сентября 2030 года.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1 июля 2024 года увеличат госпошлины за выдачу разрешений на труд иностранцев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AAB356" wp14:editId="5DAEB133">
                  <wp:extent cx="114300" cy="1428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</w:rPr>
              <w:t xml:space="preserve">Федеральный </w:t>
            </w:r>
            <w:hyperlink r:id="rId12">
              <w:r w:rsidRPr="001F67DF">
                <w:rPr>
                  <w:rFonts w:ascii="Times New Roman" w:hAnsi="Times New Roman" w:cs="Times New Roman"/>
                </w:rPr>
                <w:t>закон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от 27.11.2023 N 539-ФЗ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Вырастут госпошлины за выдачу, в частности, таких документов: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- приглашения на въе</w:t>
      </w:r>
      <w:proofErr w:type="gramStart"/>
      <w:r w:rsidRPr="001F67DF">
        <w:rPr>
          <w:rFonts w:ascii="Times New Roman" w:hAnsi="Times New Roman" w:cs="Times New Roman"/>
        </w:rPr>
        <w:t>зд в РФ</w:t>
      </w:r>
      <w:proofErr w:type="gramEnd"/>
      <w:r w:rsidRPr="001F67DF">
        <w:rPr>
          <w:rFonts w:ascii="Times New Roman" w:hAnsi="Times New Roman" w:cs="Times New Roman"/>
        </w:rPr>
        <w:t xml:space="preserve"> иностранца или лица без гражданства. Нужно будет уплатить </w:t>
      </w:r>
      <w:hyperlink r:id="rId13">
        <w:r w:rsidRPr="001F67DF">
          <w:rPr>
            <w:rFonts w:ascii="Times New Roman" w:hAnsi="Times New Roman" w:cs="Times New Roman"/>
          </w:rPr>
          <w:t>960 руб.</w:t>
        </w:r>
      </w:hyperlink>
      <w:r w:rsidRPr="001F67DF">
        <w:rPr>
          <w:rFonts w:ascii="Times New Roman" w:hAnsi="Times New Roman" w:cs="Times New Roman"/>
        </w:rPr>
        <w:t xml:space="preserve"> вместо </w:t>
      </w:r>
      <w:hyperlink r:id="rId14">
        <w:r w:rsidRPr="001F67DF">
          <w:rPr>
            <w:rFonts w:ascii="Times New Roman" w:hAnsi="Times New Roman" w:cs="Times New Roman"/>
          </w:rPr>
          <w:t>800</w:t>
        </w:r>
      </w:hyperlink>
      <w:r w:rsidRPr="001F67DF">
        <w:rPr>
          <w:rFonts w:ascii="Times New Roman" w:hAnsi="Times New Roman" w:cs="Times New Roman"/>
        </w:rPr>
        <w:t xml:space="preserve"> за каждого приглашенного;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- разрешения на привлечение и использование иностранных работников. Новый размер платежа за каждого такого сотрудника - </w:t>
      </w:r>
      <w:hyperlink r:id="rId15">
        <w:r w:rsidRPr="001F67DF">
          <w:rPr>
            <w:rFonts w:ascii="Times New Roman" w:hAnsi="Times New Roman" w:cs="Times New Roman"/>
          </w:rPr>
          <w:t>12 тыс. руб.</w:t>
        </w:r>
      </w:hyperlink>
      <w:r w:rsidRPr="001F67DF">
        <w:rPr>
          <w:rFonts w:ascii="Times New Roman" w:hAnsi="Times New Roman" w:cs="Times New Roman"/>
        </w:rPr>
        <w:t xml:space="preserve"> Сейчас - </w:t>
      </w:r>
      <w:hyperlink r:id="rId16">
        <w:r w:rsidRPr="001F67DF">
          <w:rPr>
            <w:rFonts w:ascii="Times New Roman" w:hAnsi="Times New Roman" w:cs="Times New Roman"/>
          </w:rPr>
          <w:t>10 тыс. руб.</w:t>
        </w:r>
      </w:hyperlink>
      <w:r w:rsidRPr="001F67DF">
        <w:rPr>
          <w:rFonts w:ascii="Times New Roman" w:hAnsi="Times New Roman" w:cs="Times New Roman"/>
        </w:rPr>
        <w:t>;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- разрешения на работу иностранца или лица без гражданства. Госпошлина составит </w:t>
      </w:r>
      <w:hyperlink r:id="rId17">
        <w:r w:rsidRPr="001F67DF">
          <w:rPr>
            <w:rFonts w:ascii="Times New Roman" w:hAnsi="Times New Roman" w:cs="Times New Roman"/>
          </w:rPr>
          <w:t>4 200 руб.</w:t>
        </w:r>
      </w:hyperlink>
      <w:r w:rsidRPr="001F67DF">
        <w:rPr>
          <w:rFonts w:ascii="Times New Roman" w:hAnsi="Times New Roman" w:cs="Times New Roman"/>
        </w:rPr>
        <w:t xml:space="preserve"> Пока вносят </w:t>
      </w:r>
      <w:hyperlink r:id="rId18">
        <w:r w:rsidRPr="001F67DF">
          <w:rPr>
            <w:rFonts w:ascii="Times New Roman" w:hAnsi="Times New Roman" w:cs="Times New Roman"/>
          </w:rPr>
          <w:t>3 500 руб.</w:t>
        </w:r>
      </w:hyperlink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bookmarkStart w:id="0" w:name="P60"/>
      <w:bookmarkEnd w:id="0"/>
      <w:r w:rsidRPr="001F67DF">
        <w:rPr>
          <w:rFonts w:ascii="Times New Roman" w:hAnsi="Times New Roman" w:cs="Times New Roman"/>
        </w:rPr>
        <w:t>С 6 апреля 2024 года работодателям запретили увольнять по своей инициативе овдовевших супругов ветеранов боевых действий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D0CBE5" wp14:editId="122AC5EB">
                  <wp:extent cx="114300" cy="14287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</w:rPr>
              <w:t xml:space="preserve">Федеральный </w:t>
            </w:r>
            <w:hyperlink r:id="rId19">
              <w:r w:rsidRPr="001F67DF">
                <w:rPr>
                  <w:rFonts w:ascii="Times New Roman" w:hAnsi="Times New Roman" w:cs="Times New Roman"/>
                </w:rPr>
                <w:t>закон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от 06.04.2024 N 70-ФЗ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Работодатели не могут по своей инициативе расторгать трудовые договоры с овдовевшими супругами ветеранов боевых действий. Запрет применяется год после смерти при условии, что овдовевший специалист вновь не вступит в брак.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В ряде случаев увольнение по инициативе работодателя все же допускают (например, при ликвидации организации, грубом или неоднократном проступке).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bookmarkStart w:id="1" w:name="P67"/>
      <w:bookmarkEnd w:id="1"/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25 февраля 2024 года расширены трудовые гарантии для одиноких родителей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F784EB" wp14:editId="6BB2D5DA">
                  <wp:extent cx="114300" cy="14287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</w:rPr>
              <w:t xml:space="preserve">Федеральный </w:t>
            </w:r>
            <w:hyperlink r:id="rId20">
              <w:r w:rsidRPr="001F67DF">
                <w:rPr>
                  <w:rFonts w:ascii="Times New Roman" w:hAnsi="Times New Roman" w:cs="Times New Roman"/>
                </w:rPr>
                <w:t>закон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от 14.02.2024 N 12-ФЗ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Работодателям </w:t>
      </w:r>
      <w:hyperlink r:id="rId21">
        <w:r w:rsidRPr="001F67DF">
          <w:rPr>
            <w:rFonts w:ascii="Times New Roman" w:hAnsi="Times New Roman" w:cs="Times New Roman"/>
          </w:rPr>
          <w:t>запретили увольнять</w:t>
        </w:r>
      </w:hyperlink>
      <w:r w:rsidRPr="001F67DF">
        <w:rPr>
          <w:rFonts w:ascii="Times New Roman" w:hAnsi="Times New Roman" w:cs="Times New Roman"/>
        </w:rPr>
        <w:t xml:space="preserve"> по своей инициативе сотрудников, которые в одиночку воспитывают детей в возрасте до 16 лет. </w:t>
      </w:r>
      <w:hyperlink r:id="rId22">
        <w:r w:rsidRPr="001F67DF">
          <w:rPr>
            <w:rFonts w:ascii="Times New Roman" w:hAnsi="Times New Roman" w:cs="Times New Roman"/>
          </w:rPr>
          <w:t>Ранее</w:t>
        </w:r>
      </w:hyperlink>
      <w:r w:rsidRPr="001F67DF">
        <w:rPr>
          <w:rFonts w:ascii="Times New Roman" w:hAnsi="Times New Roman" w:cs="Times New Roman"/>
        </w:rPr>
        <w:t xml:space="preserve"> гарантия действовала, пока ребенку не исполнилось 14 лет.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В ряде случаев увольнение таких сотрудников по инициативе работодателя допускают, например, при ликвидации организации или однократном грубом нарушении обязанностей.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DD015F" w:rsidRDefault="00DD015F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D015F" w:rsidRDefault="00DD015F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D015F" w:rsidRDefault="00DD015F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lastRenderedPageBreak/>
        <w:t xml:space="preserve">С 30 января 2024 года вступили в силу поправки о компенсации за задержку </w:t>
      </w:r>
      <w:proofErr w:type="spellStart"/>
      <w:r w:rsidRPr="001F67DF">
        <w:rPr>
          <w:rFonts w:ascii="Times New Roman" w:hAnsi="Times New Roman" w:cs="Times New Roman"/>
        </w:rPr>
        <w:t>неначисленных</w:t>
      </w:r>
      <w:proofErr w:type="spellEnd"/>
      <w:r w:rsidRPr="001F67DF">
        <w:rPr>
          <w:rFonts w:ascii="Times New Roman" w:hAnsi="Times New Roman" w:cs="Times New Roman"/>
        </w:rPr>
        <w:t xml:space="preserve"> выплат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C30C06" wp14:editId="43B11760">
                  <wp:extent cx="114300" cy="14287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</w:rPr>
              <w:t xml:space="preserve">Федеральный </w:t>
            </w:r>
            <w:hyperlink r:id="rId23">
              <w:r w:rsidRPr="001F67DF">
                <w:rPr>
                  <w:rFonts w:ascii="Times New Roman" w:hAnsi="Times New Roman" w:cs="Times New Roman"/>
                </w:rPr>
                <w:t>закон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от 30.01.2024 N 3-ФЗ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Работодатель обязан выплатить проценты, если не начислил сотруднику деньги вовремя, а суд подтвердил право на них. Компенсация та же, что и, например, при просрочке зарплаты.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Проценты рассчитывают со следующего дня после даты, когда деньги были бы выплачены, если бы их начислили вовремя. Размер - не ниже 1/150 ключевой ставки ЦБ РФ от суммы долга.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8 января 2024 года расширили перечень индикаторов риска для проверок работодателей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DA8581" wp14:editId="09409895">
                  <wp:extent cx="114300" cy="1428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">
              <w:r w:rsidRPr="001F67DF">
                <w:rPr>
                  <w:rFonts w:ascii="Times New Roman" w:hAnsi="Times New Roman" w:cs="Times New Roman"/>
                </w:rPr>
                <w:t>Приказ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Минтруда России от 28.11.2023 N 836н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В </w:t>
      </w:r>
      <w:hyperlink r:id="rId25">
        <w:r w:rsidRPr="001F67DF">
          <w:rPr>
            <w:rFonts w:ascii="Times New Roman" w:hAnsi="Times New Roman" w:cs="Times New Roman"/>
          </w:rPr>
          <w:t>перечень индикаторов</w:t>
        </w:r>
      </w:hyperlink>
      <w:r w:rsidRPr="001F67DF">
        <w:rPr>
          <w:rFonts w:ascii="Times New Roman" w:hAnsi="Times New Roman" w:cs="Times New Roman"/>
        </w:rPr>
        <w:t xml:space="preserve">, которые </w:t>
      </w:r>
      <w:hyperlink r:id="rId26">
        <w:r w:rsidRPr="001F67DF">
          <w:rPr>
            <w:rFonts w:ascii="Times New Roman" w:hAnsi="Times New Roman" w:cs="Times New Roman"/>
          </w:rPr>
          <w:t>используют</w:t>
        </w:r>
      </w:hyperlink>
      <w:r w:rsidRPr="001F67DF">
        <w:rPr>
          <w:rFonts w:ascii="Times New Roman" w:hAnsi="Times New Roman" w:cs="Times New Roman"/>
        </w:rPr>
        <w:t xml:space="preserve"> при решении вопроса о внеплановой проверке, </w:t>
      </w:r>
      <w:hyperlink r:id="rId27">
        <w:r w:rsidRPr="001F67DF">
          <w:rPr>
            <w:rFonts w:ascii="Times New Roman" w:hAnsi="Times New Roman" w:cs="Times New Roman"/>
          </w:rPr>
          <w:t>добавили</w:t>
        </w:r>
      </w:hyperlink>
      <w:r w:rsidRPr="001F67DF">
        <w:rPr>
          <w:rFonts w:ascii="Times New Roman" w:hAnsi="Times New Roman" w:cs="Times New Roman"/>
        </w:rPr>
        <w:t xml:space="preserve"> 2 показателя: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- средняя оплата труда работника ниже МРОТ при сопоставлении размера фонда оплаты труда и количества сотрудников за квартал. Не учитываются случаи отпуска за свой счет, отстранения от обязанностей без оплаты, сокращения времени труда, ставки или оклада;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- нет кадровых изменений за квартал при сокращении обязательных отчислений в СФР на 50%.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С 1 января 2024 года </w:t>
      </w:r>
      <w:proofErr w:type="gramStart"/>
      <w:r w:rsidRPr="001F67DF">
        <w:rPr>
          <w:rFonts w:ascii="Times New Roman" w:hAnsi="Times New Roman" w:cs="Times New Roman"/>
        </w:rPr>
        <w:t>изменили ряд форм</w:t>
      </w:r>
      <w:proofErr w:type="gramEnd"/>
      <w:r w:rsidRPr="001F67DF">
        <w:rPr>
          <w:rFonts w:ascii="Times New Roman" w:hAnsi="Times New Roman" w:cs="Times New Roman"/>
        </w:rPr>
        <w:t xml:space="preserve"> для работодателей, принимающих иностранцев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2A4334" wp14:editId="0660E8C7">
                  <wp:extent cx="114300" cy="1428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8">
              <w:r w:rsidRPr="001F67DF">
                <w:rPr>
                  <w:rFonts w:ascii="Times New Roman" w:hAnsi="Times New Roman" w:cs="Times New Roman"/>
                </w:rPr>
                <w:t>Приказ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МВД России от 22.11.2023 N 887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По обновленным формам </w:t>
      </w:r>
      <w:hyperlink r:id="rId29">
        <w:r w:rsidRPr="001F67DF">
          <w:rPr>
            <w:rFonts w:ascii="Times New Roman" w:hAnsi="Times New Roman" w:cs="Times New Roman"/>
          </w:rPr>
          <w:t>нужно сообщать</w:t>
        </w:r>
      </w:hyperlink>
      <w:r w:rsidRPr="001F67DF">
        <w:rPr>
          <w:rFonts w:ascii="Times New Roman" w:hAnsi="Times New Roman" w:cs="Times New Roman"/>
        </w:rPr>
        <w:t xml:space="preserve">, в частности, о заключении и расторжении трудового или гражданско-правового договора с иностранцем. Такие документы в электронном виде </w:t>
      </w:r>
      <w:hyperlink r:id="rId30">
        <w:r w:rsidRPr="001F67DF">
          <w:rPr>
            <w:rFonts w:ascii="Times New Roman" w:hAnsi="Times New Roman" w:cs="Times New Roman"/>
          </w:rPr>
          <w:t>разрешили подписывать</w:t>
        </w:r>
      </w:hyperlink>
      <w:r w:rsidRPr="001F67DF">
        <w:rPr>
          <w:rFonts w:ascii="Times New Roman" w:hAnsi="Times New Roman" w:cs="Times New Roman"/>
        </w:rPr>
        <w:t xml:space="preserve"> простой ЭП.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Скорректировали и другие формы уведомлений и заявлений. Большинство изменений связаны с созданием Центра по вопросам миграции МВД России.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1 января 2024 года уточнили обязанности работодателей по информированию службы занятости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CEC753" wp14:editId="6DC19B5C">
                  <wp:extent cx="114300" cy="14287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</w:rPr>
              <w:t xml:space="preserve">Федеральный </w:t>
            </w:r>
            <w:hyperlink r:id="rId31">
              <w:r w:rsidRPr="001F67DF">
                <w:rPr>
                  <w:rFonts w:ascii="Times New Roman" w:hAnsi="Times New Roman" w:cs="Times New Roman"/>
                </w:rPr>
                <w:t>закон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от 12.12.2023 N 565-ФЗ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О сокращении штата, банкротстве, ликвидации организации, а также других действиях и событиях </w:t>
      </w:r>
      <w:hyperlink r:id="rId32">
        <w:r w:rsidRPr="001F67DF">
          <w:rPr>
            <w:rFonts w:ascii="Times New Roman" w:hAnsi="Times New Roman" w:cs="Times New Roman"/>
          </w:rPr>
          <w:t>нужно отчитываться</w:t>
        </w:r>
      </w:hyperlink>
      <w:r w:rsidRPr="001F67DF">
        <w:rPr>
          <w:rFonts w:ascii="Times New Roman" w:hAnsi="Times New Roman" w:cs="Times New Roman"/>
        </w:rPr>
        <w:t xml:space="preserve"> исключительно через </w:t>
      </w:r>
      <w:proofErr w:type="spellStart"/>
      <w:r w:rsidRPr="001F67DF">
        <w:rPr>
          <w:rFonts w:ascii="Times New Roman" w:hAnsi="Times New Roman" w:cs="Times New Roman"/>
        </w:rPr>
        <w:t>информресурсы</w:t>
      </w:r>
      <w:proofErr w:type="spellEnd"/>
      <w:r w:rsidRPr="001F67DF">
        <w:rPr>
          <w:rFonts w:ascii="Times New Roman" w:hAnsi="Times New Roman" w:cs="Times New Roman"/>
        </w:rPr>
        <w:t xml:space="preserve">, в частности платформу "Работа в России". </w:t>
      </w:r>
      <w:hyperlink r:id="rId33">
        <w:r w:rsidRPr="001F67DF">
          <w:rPr>
            <w:rFonts w:ascii="Times New Roman" w:hAnsi="Times New Roman" w:cs="Times New Roman"/>
          </w:rPr>
          <w:t>Сообщать теперь требуют</w:t>
        </w:r>
      </w:hyperlink>
      <w:r w:rsidRPr="001F67DF">
        <w:rPr>
          <w:rFonts w:ascii="Times New Roman" w:hAnsi="Times New Roman" w:cs="Times New Roman"/>
        </w:rPr>
        <w:t xml:space="preserve"> не только о принятых решениях, но и об их изменениях и отменах.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Закрепили, что оповещать в </w:t>
      </w:r>
      <w:proofErr w:type="spellStart"/>
      <w:r w:rsidRPr="001F67DF">
        <w:rPr>
          <w:rFonts w:ascii="Times New Roman" w:hAnsi="Times New Roman" w:cs="Times New Roman"/>
        </w:rPr>
        <w:t>т.ч</w:t>
      </w:r>
      <w:proofErr w:type="spellEnd"/>
      <w:r w:rsidRPr="001F67DF">
        <w:rPr>
          <w:rFonts w:ascii="Times New Roman" w:hAnsi="Times New Roman" w:cs="Times New Roman"/>
        </w:rPr>
        <w:t xml:space="preserve">. о появлении вакансий следует в течение </w:t>
      </w:r>
      <w:hyperlink r:id="rId34">
        <w:r w:rsidRPr="001F67DF">
          <w:rPr>
            <w:rFonts w:ascii="Times New Roman" w:hAnsi="Times New Roman" w:cs="Times New Roman"/>
          </w:rPr>
          <w:t>5 рабочих дней</w:t>
        </w:r>
      </w:hyperlink>
      <w:r w:rsidRPr="001F67DF">
        <w:rPr>
          <w:rFonts w:ascii="Times New Roman" w:hAnsi="Times New Roman" w:cs="Times New Roman"/>
        </w:rPr>
        <w:t>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1 января 2024 года обновили правила аттестации медиков и фармацевтов на квалификационную категорию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71FAF4" wp14:editId="2AB53716">
                  <wp:extent cx="114300" cy="14287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">
              <w:r w:rsidRPr="001F67DF">
                <w:rPr>
                  <w:rFonts w:ascii="Times New Roman" w:hAnsi="Times New Roman" w:cs="Times New Roman"/>
                </w:rPr>
                <w:t>Приказ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Минздрава России от 31.08.2023 N 458н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 xml:space="preserve">Скорректировали порядок, по которому </w:t>
      </w:r>
      <w:proofErr w:type="spellStart"/>
      <w:r w:rsidRPr="001F67DF">
        <w:rPr>
          <w:rFonts w:ascii="Times New Roman" w:hAnsi="Times New Roman" w:cs="Times New Roman"/>
        </w:rPr>
        <w:t>фар</w:t>
      </w:r>
      <w:proofErr w:type="gramStart"/>
      <w:r w:rsidRPr="001F67DF">
        <w:rPr>
          <w:rFonts w:ascii="Times New Roman" w:hAnsi="Times New Roman" w:cs="Times New Roman"/>
        </w:rPr>
        <w:t>м</w:t>
      </w:r>
      <w:proofErr w:type="spellEnd"/>
      <w:r w:rsidRPr="001F67DF">
        <w:rPr>
          <w:rFonts w:ascii="Times New Roman" w:hAnsi="Times New Roman" w:cs="Times New Roman"/>
        </w:rPr>
        <w:t>-</w:t>
      </w:r>
      <w:proofErr w:type="gramEnd"/>
      <w:r w:rsidRPr="001F67DF">
        <w:rPr>
          <w:rFonts w:ascii="Times New Roman" w:hAnsi="Times New Roman" w:cs="Times New Roman"/>
        </w:rPr>
        <w:t xml:space="preserve"> и медработники получают квалификационные категории. Среди прочего закрепили, что в заявлении на аттестацию </w:t>
      </w:r>
      <w:hyperlink r:id="rId36">
        <w:r w:rsidRPr="001F67DF">
          <w:rPr>
            <w:rFonts w:ascii="Times New Roman" w:hAnsi="Times New Roman" w:cs="Times New Roman"/>
          </w:rPr>
          <w:t>нужно указать</w:t>
        </w:r>
      </w:hyperlink>
      <w:r w:rsidRPr="001F67DF">
        <w:rPr>
          <w:rFonts w:ascii="Times New Roman" w:hAnsi="Times New Roman" w:cs="Times New Roman"/>
        </w:rPr>
        <w:t xml:space="preserve"> СНИЛС. </w:t>
      </w:r>
      <w:hyperlink r:id="rId37">
        <w:r w:rsidRPr="001F67DF">
          <w:rPr>
            <w:rFonts w:ascii="Times New Roman" w:hAnsi="Times New Roman" w:cs="Times New Roman"/>
          </w:rPr>
          <w:t>Отчет можно представить</w:t>
        </w:r>
      </w:hyperlink>
      <w:r w:rsidRPr="001F67DF">
        <w:rPr>
          <w:rFonts w:ascii="Times New Roman" w:hAnsi="Times New Roman" w:cs="Times New Roman"/>
        </w:rPr>
        <w:t xml:space="preserve"> по каждой организации, где специалист работал в отчетном периоде. Документы </w:t>
      </w:r>
      <w:hyperlink r:id="rId38">
        <w:r w:rsidRPr="001F67DF">
          <w:rPr>
            <w:rFonts w:ascii="Times New Roman" w:hAnsi="Times New Roman" w:cs="Times New Roman"/>
          </w:rPr>
          <w:t>надо подать</w:t>
        </w:r>
      </w:hyperlink>
      <w:r w:rsidRPr="001F67DF">
        <w:rPr>
          <w:rFonts w:ascii="Times New Roman" w:hAnsi="Times New Roman" w:cs="Times New Roman"/>
        </w:rPr>
        <w:t xml:space="preserve"> в центральную, ведомственную или территориальную комиссию - в зависимости от того, где работает медик либо фармацевт.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Изменили также сроки отдельных процедур.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1 января 2024 года заработал национальный стандарт для тех, кто хочет применять или уже применяет принципы ориентированности на человека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0F15AC" wp14:editId="2EBF1052">
                  <wp:extent cx="114300" cy="14287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9">
              <w:r w:rsidRPr="001F67DF">
                <w:rPr>
                  <w:rFonts w:ascii="Times New Roman" w:hAnsi="Times New Roman" w:cs="Times New Roman"/>
                </w:rPr>
                <w:t>Приказ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7DF">
              <w:rPr>
                <w:rFonts w:ascii="Times New Roman" w:hAnsi="Times New Roman" w:cs="Times New Roman"/>
              </w:rPr>
              <w:t>Росстандарта</w:t>
            </w:r>
            <w:proofErr w:type="spellEnd"/>
            <w:r w:rsidRPr="001F67DF">
              <w:rPr>
                <w:rFonts w:ascii="Times New Roman" w:hAnsi="Times New Roman" w:cs="Times New Roman"/>
              </w:rPr>
              <w:t xml:space="preserve"> от 27.01.2023 N 56-ст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В новом стандарте привели требования и рекомендации по управлению человеческим фактором и эргономическому подходу при создании успешной и устойчивой организации с ориентацией на людей.</w:t>
      </w:r>
    </w:p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</w:p>
    <w:p w:rsidR="001837BE" w:rsidRPr="001F67DF" w:rsidRDefault="001837BE" w:rsidP="001F67DF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С 1 января 2024 года размер МРОТ - 19 242 руб. в месяц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628"/>
        <w:gridCol w:w="180"/>
      </w:tblGrid>
      <w:tr w:rsidR="001837BE" w:rsidRPr="001F67D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FEB3FA" wp14:editId="0A4B375E">
                  <wp:extent cx="114300" cy="14287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7DF">
              <w:rPr>
                <w:rFonts w:ascii="Times New Roman" w:hAnsi="Times New Roman" w:cs="Times New Roman"/>
              </w:rPr>
              <w:t xml:space="preserve">Федеральный </w:t>
            </w:r>
            <w:hyperlink r:id="rId40">
              <w:r w:rsidRPr="001F67DF">
                <w:rPr>
                  <w:rFonts w:ascii="Times New Roman" w:hAnsi="Times New Roman" w:cs="Times New Roman"/>
                </w:rPr>
                <w:t>закон</w:t>
              </w:r>
            </w:hyperlink>
            <w:r w:rsidRPr="001F67DF">
              <w:rPr>
                <w:rFonts w:ascii="Times New Roman" w:hAnsi="Times New Roman" w:cs="Times New Roman"/>
              </w:rPr>
              <w:t xml:space="preserve"> от 27.11.2023 N 548-ФЗ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7BE" w:rsidRPr="001F67DF" w:rsidRDefault="001837BE" w:rsidP="001F67DF">
      <w:pPr>
        <w:pStyle w:val="ConsPlusNormal"/>
        <w:jc w:val="both"/>
        <w:rPr>
          <w:rFonts w:ascii="Times New Roman" w:hAnsi="Times New Roman" w:cs="Times New Roman"/>
        </w:rPr>
      </w:pPr>
      <w:r w:rsidRPr="001F67DF">
        <w:rPr>
          <w:rFonts w:ascii="Times New Roman" w:hAnsi="Times New Roman" w:cs="Times New Roman"/>
        </w:rPr>
        <w:t>МРОТ увеличили на 18,5%. Повышение окладов - не единственный способ довести уровень зарплаты до "</w:t>
      </w:r>
      <w:proofErr w:type="spellStart"/>
      <w:r w:rsidRPr="001F67DF">
        <w:rPr>
          <w:rFonts w:ascii="Times New Roman" w:hAnsi="Times New Roman" w:cs="Times New Roman"/>
        </w:rPr>
        <w:t>минималки</w:t>
      </w:r>
      <w:proofErr w:type="spellEnd"/>
      <w:r w:rsidRPr="001F67DF">
        <w:rPr>
          <w:rFonts w:ascii="Times New Roman" w:hAnsi="Times New Roman" w:cs="Times New Roman"/>
        </w:rPr>
        <w:t>". Сделать это можно за счет иных выплат. Например, специальной доплаты сотрудникам, у которых зарплата ниже МРОТ.</w:t>
      </w:r>
      <w:bookmarkStart w:id="2" w:name="_GoBack"/>
      <w:bookmarkEnd w:id="2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568"/>
        <w:gridCol w:w="180"/>
      </w:tblGrid>
      <w:tr w:rsidR="001837BE" w:rsidRPr="001F67DF" w:rsidTr="001F67DF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7BE" w:rsidRPr="001F67DF" w:rsidRDefault="001837BE" w:rsidP="001F6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1137" w:rsidRPr="001837BE" w:rsidRDefault="00BF1137" w:rsidP="004E7C03">
      <w:pPr>
        <w:spacing w:after="0" w:line="240" w:lineRule="auto"/>
      </w:pPr>
    </w:p>
    <w:sectPr w:rsidR="00BF1137" w:rsidRPr="001837BE" w:rsidSect="00DD015F">
      <w:pgSz w:w="11906" w:h="16838"/>
      <w:pgMar w:top="568" w:right="282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BE"/>
    <w:rsid w:val="001076E6"/>
    <w:rsid w:val="001837BE"/>
    <w:rsid w:val="001F67DF"/>
    <w:rsid w:val="004E7C03"/>
    <w:rsid w:val="00BF1137"/>
    <w:rsid w:val="00D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3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37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3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37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093&amp;dst=100466" TargetMode="External"/><Relationship Id="rId13" Type="http://schemas.openxmlformats.org/officeDocument/2006/relationships/hyperlink" Target="https://login.consultant.ru/link/?req=doc&amp;base=LAW&amp;n=462886&amp;dst=100367" TargetMode="External"/><Relationship Id="rId18" Type="http://schemas.openxmlformats.org/officeDocument/2006/relationships/hyperlink" Target="https://login.consultant.ru/link/?req=doc&amp;base=LAW&amp;n=472979&amp;dst=10009" TargetMode="External"/><Relationship Id="rId26" Type="http://schemas.openxmlformats.org/officeDocument/2006/relationships/hyperlink" Target="https://login.consultant.ru/link/?req=doc&amp;base=LAW&amp;n=465728&amp;dst=100269" TargetMode="External"/><Relationship Id="rId39" Type="http://schemas.openxmlformats.org/officeDocument/2006/relationships/hyperlink" Target="https://login.consultant.ru/link/?req=doc&amp;base=LAW&amp;n=4475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658&amp;dst=100010" TargetMode="External"/><Relationship Id="rId34" Type="http://schemas.openxmlformats.org/officeDocument/2006/relationships/hyperlink" Target="https://login.consultant.ru/link/?req=doc&amp;base=LAW&amp;n=464093&amp;dst=10061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4093&amp;dst=100465" TargetMode="External"/><Relationship Id="rId12" Type="http://schemas.openxmlformats.org/officeDocument/2006/relationships/hyperlink" Target="https://login.consultant.ru/link/?req=doc&amp;base=LAW&amp;n=462886" TargetMode="External"/><Relationship Id="rId17" Type="http://schemas.openxmlformats.org/officeDocument/2006/relationships/hyperlink" Target="https://login.consultant.ru/link/?req=doc&amp;base=LAW&amp;n=462886&amp;dst=100373" TargetMode="External"/><Relationship Id="rId25" Type="http://schemas.openxmlformats.org/officeDocument/2006/relationships/hyperlink" Target="https://login.consultant.ru/link/?req=doc&amp;base=LAW&amp;n=466347&amp;dst=100011" TargetMode="External"/><Relationship Id="rId33" Type="http://schemas.openxmlformats.org/officeDocument/2006/relationships/hyperlink" Target="https://login.consultant.ru/link/?req=doc&amp;base=LAW&amp;n=464093&amp;dst=100602" TargetMode="External"/><Relationship Id="rId38" Type="http://schemas.openxmlformats.org/officeDocument/2006/relationships/hyperlink" Target="https://login.consultant.ru/link/?req=doc&amp;base=LAW&amp;n=458918&amp;dst=1001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2979&amp;dst=10008" TargetMode="External"/><Relationship Id="rId20" Type="http://schemas.openxmlformats.org/officeDocument/2006/relationships/hyperlink" Target="https://login.consultant.ru/link/?req=doc&amp;base=LAW&amp;n=469658" TargetMode="External"/><Relationship Id="rId29" Type="http://schemas.openxmlformats.org/officeDocument/2006/relationships/hyperlink" Target="https://login.consultant.ru/link/?req=doc&amp;base=LAW&amp;n=465129&amp;dst=10008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093&amp;dst=100464" TargetMode="External"/><Relationship Id="rId11" Type="http://schemas.openxmlformats.org/officeDocument/2006/relationships/hyperlink" Target="https://login.consultant.ru/link/?req=doc&amp;base=LAW&amp;n=463282" TargetMode="External"/><Relationship Id="rId24" Type="http://schemas.openxmlformats.org/officeDocument/2006/relationships/hyperlink" Target="https://login.consultant.ru/link/?req=doc&amp;base=LAW&amp;n=466163" TargetMode="External"/><Relationship Id="rId32" Type="http://schemas.openxmlformats.org/officeDocument/2006/relationships/hyperlink" Target="https://login.consultant.ru/link/?req=doc&amp;base=LAW&amp;n=464093&amp;dst=100611" TargetMode="External"/><Relationship Id="rId37" Type="http://schemas.openxmlformats.org/officeDocument/2006/relationships/hyperlink" Target="https://login.consultant.ru/link/?req=doc&amp;base=LAW&amp;n=458918&amp;dst=100120" TargetMode="External"/><Relationship Id="rId40" Type="http://schemas.openxmlformats.org/officeDocument/2006/relationships/hyperlink" Target="https://login.consultant.ru/link/?req=doc&amp;base=LAW&amp;n=462877&amp;dst=1000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2886&amp;dst=100372" TargetMode="External"/><Relationship Id="rId23" Type="http://schemas.openxmlformats.org/officeDocument/2006/relationships/hyperlink" Target="https://login.consultant.ru/link/?req=doc&amp;base=LAW&amp;n=468343" TargetMode="External"/><Relationship Id="rId28" Type="http://schemas.openxmlformats.org/officeDocument/2006/relationships/hyperlink" Target="https://login.consultant.ru/link/?req=doc&amp;base=LAW&amp;n=465129" TargetMode="External"/><Relationship Id="rId36" Type="http://schemas.openxmlformats.org/officeDocument/2006/relationships/hyperlink" Target="https://login.consultant.ru/link/?req=doc&amp;base=LAW&amp;n=458918&amp;dst=100114" TargetMode="External"/><Relationship Id="rId10" Type="http://schemas.openxmlformats.org/officeDocument/2006/relationships/hyperlink" Target="https://login.consultant.ru/link/?req=doc&amp;base=LAW&amp;n=454224&amp;dst=100282" TargetMode="External"/><Relationship Id="rId19" Type="http://schemas.openxmlformats.org/officeDocument/2006/relationships/hyperlink" Target="https://login.consultant.ru/link/?req=doc&amp;base=LAW&amp;n=473948" TargetMode="External"/><Relationship Id="rId31" Type="http://schemas.openxmlformats.org/officeDocument/2006/relationships/hyperlink" Target="https://login.consultant.ru/link/?req=doc&amp;base=LAW&amp;n=464093&amp;dst=10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038&amp;dst=100014" TargetMode="External"/><Relationship Id="rId14" Type="http://schemas.openxmlformats.org/officeDocument/2006/relationships/hyperlink" Target="https://login.consultant.ru/link/?req=doc&amp;base=LAW&amp;n=472979&amp;dst=10004" TargetMode="External"/><Relationship Id="rId22" Type="http://schemas.openxmlformats.org/officeDocument/2006/relationships/hyperlink" Target="https://login.consultant.ru/link/?req=doc&amp;base=LAW&amp;n=474024&amp;dst=1819" TargetMode="External"/><Relationship Id="rId27" Type="http://schemas.openxmlformats.org/officeDocument/2006/relationships/hyperlink" Target="https://login.consultant.ru/link/?req=doc&amp;base=LAW&amp;n=466163&amp;dst=100012" TargetMode="External"/><Relationship Id="rId30" Type="http://schemas.openxmlformats.org/officeDocument/2006/relationships/hyperlink" Target="https://login.consultant.ru/link/?req=doc&amp;base=LAW&amp;n=465129&amp;dst=100101" TargetMode="External"/><Relationship Id="rId35" Type="http://schemas.openxmlformats.org/officeDocument/2006/relationships/hyperlink" Target="https://login.consultant.ru/link/?req=doc&amp;base=LAW&amp;n=458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Deeva</dc:creator>
  <cp:lastModifiedBy>Deeva</cp:lastModifiedBy>
  <cp:revision>2</cp:revision>
  <cp:lastPrinted>2024-04-22T10:58:00Z</cp:lastPrinted>
  <dcterms:created xsi:type="dcterms:W3CDTF">2024-04-22T10:01:00Z</dcterms:created>
  <dcterms:modified xsi:type="dcterms:W3CDTF">2024-04-22T10:58:00Z</dcterms:modified>
</cp:coreProperties>
</file>